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新疆财政支出绩效自评报告编制要求</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700" w:firstLineChars="200"/>
        <w:rPr>
          <w:rFonts w:hint="eastAsia" w:ascii="仿宋_GB2312" w:hAnsi="宋体" w:eastAsia="仿宋_GB2312" w:cs="宋体"/>
          <w:color w:val="000000"/>
          <w:spacing w:val="15"/>
          <w:kern w:val="0"/>
          <w:sz w:val="32"/>
          <w:szCs w:val="32"/>
        </w:rPr>
      </w:pPr>
      <w:r>
        <w:rPr>
          <w:rFonts w:hint="eastAsia" w:ascii="仿宋_GB2312" w:hAnsi="宋体" w:eastAsia="仿宋_GB2312" w:cs="宋体"/>
          <w:color w:val="000000"/>
          <w:spacing w:val="15"/>
          <w:kern w:val="0"/>
          <w:sz w:val="32"/>
          <w:szCs w:val="32"/>
        </w:rPr>
        <w:t>英吉沙县民政局内设6个职能股室，包括：行政办公室、社会救助办公室、优抚安置办公室、救灾办公室、社会事务办公室、地名区划办公室。</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hint="eastAsia"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40" w:firstLineChars="200"/>
        <w:rPr>
          <w:rFonts w:hint="eastAsia" w:ascii="仿宋" w:hAnsi="仿宋" w:eastAsia="仿宋_GB2312"/>
          <w:b/>
          <w:bCs/>
          <w:spacing w:val="-4"/>
          <w:sz w:val="32"/>
          <w:szCs w:val="32"/>
          <w:lang w:eastAsia="zh-CN"/>
        </w:rPr>
      </w:pPr>
      <w:r>
        <w:rPr>
          <w:rFonts w:hint="eastAsia" w:ascii="仿宋_GB2312" w:eastAsia="仿宋_GB2312"/>
          <w:sz w:val="32"/>
          <w:szCs w:val="32"/>
        </w:rPr>
        <w:t>拟定全县社会福利事业发展规划并组织实施；负责落实社会福利机构管理办法并组织实施；组织拟定促进慈善事业发展规划和相关政策、组织、指导社会捐助工作；负责老年人、孤儿和残疾人等特殊群体权益保障工作</w:t>
      </w:r>
      <w:r>
        <w:rPr>
          <w:rFonts w:hint="eastAsia" w:ascii="仿宋_GB2312" w:eastAsia="仿宋_GB2312"/>
          <w:sz w:val="32"/>
          <w:szCs w:val="32"/>
          <w:lang w:eastAsia="zh-CN"/>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本项目性质为延续项目。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40" w:firstLineChars="200"/>
        <w:outlineLvl w:val="0"/>
        <w:rPr>
          <w:rFonts w:hint="eastAsia" w:ascii="仿宋_GB2312" w:eastAsia="仿宋_GB2312"/>
          <w:sz w:val="32"/>
          <w:szCs w:val="32"/>
          <w:lang w:eastAsia="zh-CN"/>
        </w:rPr>
      </w:pPr>
      <w:r>
        <w:rPr>
          <w:rFonts w:hint="eastAsia" w:ascii="仿宋_GB2312" w:eastAsia="仿宋_GB2312"/>
          <w:sz w:val="32"/>
          <w:szCs w:val="32"/>
        </w:rPr>
        <w:t>拟定全县社会福利事业发展规划并组织实施；负责落实社会福利机构管理办法并组织实施；组织拟定促进慈善事业发展规划和相关政策、组织、指导社会捐助工作；负责老年人、孤儿和残疾人等特殊群体权益保障工作</w:t>
      </w:r>
      <w:r>
        <w:rPr>
          <w:rFonts w:hint="eastAsia" w:ascii="仿宋_GB2312" w:eastAsia="仿宋_GB2312"/>
          <w:sz w:val="32"/>
          <w:szCs w:val="32"/>
          <w:lang w:eastAsia="zh-CN"/>
        </w:rPr>
        <w:t>。</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社会福利项目预算安排总额为0万元，其中财政资金0万元，自筹资金0万元，2018年实际收到预算资金528.22万元。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outlineLvl w:val="0"/>
        <w:rPr>
          <w:rFonts w:ascii="仿宋" w:hAnsi="仿宋" w:eastAsia="仿宋"/>
          <w:bCs/>
          <w:color w:val="auto"/>
          <w:spacing w:val="-4"/>
          <w:sz w:val="32"/>
          <w:szCs w:val="32"/>
        </w:rPr>
      </w:pPr>
      <w:r>
        <w:rPr>
          <w:rFonts w:hint="eastAsia" w:ascii="仿宋" w:hAnsi="仿宋" w:eastAsia="仿宋"/>
          <w:bCs/>
          <w:color w:val="auto"/>
          <w:spacing w:val="-4"/>
          <w:sz w:val="32"/>
          <w:szCs w:val="32"/>
        </w:rPr>
        <w:t>本项目实际支付资金</w:t>
      </w:r>
      <w:r>
        <w:rPr>
          <w:rFonts w:hint="eastAsia" w:ascii="仿宋" w:hAnsi="仿宋" w:eastAsia="仿宋"/>
          <w:bCs/>
          <w:color w:val="auto"/>
          <w:spacing w:val="-4"/>
          <w:sz w:val="32"/>
          <w:szCs w:val="32"/>
          <w:lang w:val="en-US" w:eastAsia="zh-CN"/>
        </w:rPr>
        <w:t>528.22</w:t>
      </w:r>
      <w:r>
        <w:rPr>
          <w:rFonts w:hint="eastAsia" w:ascii="仿宋" w:hAnsi="仿宋" w:eastAsia="仿宋"/>
          <w:bCs/>
          <w:color w:val="auto"/>
          <w:spacing w:val="-4"/>
          <w:sz w:val="32"/>
          <w:szCs w:val="32"/>
        </w:rPr>
        <w:t>万元，预算执行率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auto"/>
          <w:spacing w:val="-4"/>
          <w:sz w:val="32"/>
          <w:szCs w:val="32"/>
        </w:rPr>
      </w:pPr>
      <w:r>
        <w:rPr>
          <w:rFonts w:hint="eastAsia" w:ascii="仿宋" w:hAnsi="仿宋" w:eastAsia="仿宋"/>
          <w:bCs/>
          <w:color w:val="auto"/>
          <w:spacing w:val="-4"/>
          <w:sz w:val="32"/>
          <w:szCs w:val="32"/>
        </w:rPr>
        <w:t>本项目支出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w:t>
      </w:r>
      <w:r>
        <w:rPr>
          <w:rStyle w:val="18"/>
          <w:rFonts w:hint="eastAsia" w:ascii="仿宋" w:hAnsi="仿宋" w:eastAsia="仿宋"/>
          <w:b w:val="0"/>
          <w:color w:val="auto"/>
          <w:spacing w:val="-4"/>
          <w:sz w:val="32"/>
          <w:szCs w:val="32"/>
          <w:lang w:eastAsia="zh-CN"/>
        </w:rPr>
        <w:t>民生项目按规定核算发放对个人和家庭的补助资金项目</w:t>
      </w:r>
      <w:r>
        <w:rPr>
          <w:rStyle w:val="18"/>
          <w:rFonts w:hint="eastAsia" w:ascii="仿宋" w:hAnsi="仿宋" w:eastAsia="仿宋"/>
          <w:b w:val="0"/>
          <w:color w:val="auto"/>
          <w:spacing w:val="-4"/>
          <w:sz w:val="32"/>
          <w:szCs w:val="32"/>
        </w:rPr>
        <w:t>,不存在调整情况。不存在检查验收程序。</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FF0000"/>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eastAsia="zh-CN"/>
        </w:rPr>
        <w:t>英吉沙县民政局依据政策规定</w:t>
      </w:r>
      <w:r>
        <w:rPr>
          <w:rFonts w:hint="eastAsia" w:ascii="仿宋" w:hAnsi="仿宋" w:eastAsia="仿宋"/>
          <w:bCs/>
          <w:color w:val="auto"/>
          <w:spacing w:val="-4"/>
          <w:sz w:val="32"/>
          <w:szCs w:val="32"/>
        </w:rPr>
        <w:t>保障项目的顺利实施。项目的实施遵守相关法律法规和业务管理规定，项目资料齐全并及时归档。不定期对项目进度情况进行督导检查，对检查过程中发现的问题及时督促整改，确保了项目按时保质完成。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15</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15</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eastAsia="zh-CN"/>
        </w:rPr>
      </w:pPr>
      <w:r>
        <w:rPr>
          <w:rStyle w:val="18"/>
          <w:rFonts w:hint="eastAsia" w:ascii="仿宋" w:hAnsi="仿宋" w:eastAsia="仿宋"/>
          <w:b w:val="0"/>
          <w:color w:val="auto"/>
          <w:spacing w:val="-4"/>
          <w:sz w:val="32"/>
          <w:szCs w:val="32"/>
        </w:rPr>
        <w:t>经济性：</w:t>
      </w:r>
      <w:r>
        <w:rPr>
          <w:rStyle w:val="18"/>
          <w:rFonts w:hint="eastAsia" w:ascii="仿宋" w:hAnsi="仿宋" w:eastAsia="仿宋"/>
          <w:b w:val="0"/>
          <w:color w:val="auto"/>
          <w:spacing w:val="-4"/>
          <w:sz w:val="32"/>
          <w:szCs w:val="32"/>
          <w:lang w:eastAsia="zh-CN"/>
        </w:rPr>
        <w:t>该项目</w:t>
      </w:r>
      <w:r>
        <w:rPr>
          <w:rStyle w:val="18"/>
          <w:rFonts w:hint="eastAsia" w:ascii="仿宋" w:hAnsi="仿宋" w:eastAsia="仿宋"/>
          <w:b w:val="0"/>
          <w:color w:val="auto"/>
          <w:spacing w:val="-4"/>
          <w:sz w:val="32"/>
          <w:szCs w:val="32"/>
        </w:rPr>
        <w:t>属于</w:t>
      </w:r>
      <w:r>
        <w:rPr>
          <w:rStyle w:val="18"/>
          <w:rFonts w:hint="eastAsia" w:ascii="仿宋" w:hAnsi="仿宋" w:eastAsia="仿宋"/>
          <w:b w:val="0"/>
          <w:color w:val="auto"/>
          <w:spacing w:val="-4"/>
          <w:sz w:val="32"/>
          <w:szCs w:val="32"/>
          <w:lang w:eastAsia="zh-CN"/>
        </w:rPr>
        <w:t>民生项目按规定核算发放对个人和家庭的补助资金项目。</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效率性：主要通过对比分析项目的实施进度和完成质量。</w:t>
      </w:r>
    </w:p>
    <w:p>
      <w:pPr>
        <w:adjustRightInd w:val="0"/>
        <w:snapToGrid w:val="0"/>
        <w:spacing w:line="560" w:lineRule="exact"/>
        <w:ind w:firstLine="624" w:firstLineChars="200"/>
        <w:rPr>
          <w:rFonts w:hint="eastAsia" w:ascii="楷体" w:hAnsi="楷体" w:eastAsia="楷体"/>
          <w:b/>
          <w:spacing w:val="-4"/>
          <w:sz w:val="32"/>
          <w:szCs w:val="32"/>
        </w:rPr>
      </w:pPr>
      <w:r>
        <w:rPr>
          <w:rStyle w:val="18"/>
          <w:rFonts w:hint="eastAsia" w:ascii="仿宋" w:hAnsi="仿宋" w:eastAsia="仿宋"/>
          <w:b w:val="0"/>
          <w:color w:val="auto"/>
          <w:spacing w:val="-4"/>
          <w:sz w:val="32"/>
          <w:szCs w:val="32"/>
        </w:rPr>
        <w:t>效益性：主要分析项目实施后对于经济和社会的影响。</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不存在未完成情况</w:t>
      </w:r>
      <w:r>
        <w:rPr>
          <w:rFonts w:ascii="仿宋" w:hAnsi="仿宋" w:eastAsia="仿宋"/>
          <w:color w:val="auto"/>
          <w:spacing w:val="-4"/>
          <w:sz w:val="32"/>
          <w:szCs w:val="32"/>
        </w:rPr>
        <w:t>:</w:t>
      </w:r>
      <w:r>
        <w:rPr>
          <w:rFonts w:hint="eastAsia" w:ascii="仿宋" w:hAnsi="仿宋" w:eastAsia="仿宋"/>
          <w:color w:val="auto"/>
          <w:spacing w:val="-4"/>
          <w:sz w:val="32"/>
          <w:szCs w:val="32"/>
        </w:rPr>
        <w:t>201</w:t>
      </w:r>
      <w:r>
        <w:rPr>
          <w:rFonts w:hint="eastAsia" w:ascii="仿宋" w:hAnsi="仿宋" w:eastAsia="仿宋"/>
          <w:color w:val="auto"/>
          <w:spacing w:val="-4"/>
          <w:sz w:val="32"/>
          <w:szCs w:val="32"/>
          <w:lang w:val="en-US" w:eastAsia="zh-CN"/>
        </w:rPr>
        <w:t>8</w:t>
      </w:r>
      <w:r>
        <w:rPr>
          <w:rFonts w:hint="eastAsia" w:ascii="仿宋" w:hAnsi="仿宋" w:eastAsia="仿宋"/>
          <w:color w:val="auto"/>
          <w:spacing w:val="-4"/>
          <w:sz w:val="32"/>
          <w:szCs w:val="32"/>
        </w:rPr>
        <w:t>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color w:val="FF0000"/>
          <w:spacing w:val="-4"/>
          <w:sz w:val="32"/>
          <w:szCs w:val="32"/>
        </w:rPr>
      </w:pPr>
      <w:r>
        <w:rPr>
          <w:rFonts w:ascii="仿宋" w:hAnsi="仿宋" w:eastAsia="仿宋"/>
          <w:bCs/>
          <w:color w:val="auto"/>
          <w:spacing w:val="-4"/>
          <w:sz w:val="32"/>
          <w:szCs w:val="32"/>
        </w:rPr>
        <w:t>长期性项目主要分析下一年度</w:t>
      </w:r>
      <w:r>
        <w:rPr>
          <w:rFonts w:hint="eastAsia" w:ascii="仿宋" w:hAnsi="仿宋" w:eastAsia="仿宋"/>
          <w:bCs/>
          <w:color w:val="auto"/>
          <w:spacing w:val="-4"/>
          <w:sz w:val="32"/>
          <w:szCs w:val="32"/>
          <w:lang w:eastAsia="zh-CN"/>
        </w:rPr>
        <w:t>：县民政局按规定建立社会救助物资发放台账及时完成服务对象及时足额地发放到位。</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eastAsia="zh-CN"/>
        </w:rPr>
        <w:t>无</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3、建议</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outlineLvl w:val="0"/>
        <w:rPr>
          <w:rFonts w:hint="eastAsia"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eastAsia="zh-CN"/>
        </w:rPr>
        <w:t>其他社会福利</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w:t>
      </w:r>
      <w:r>
        <w:rPr>
          <w:rFonts w:hint="eastAsia" w:ascii="仿宋" w:hAnsi="仿宋" w:eastAsia="仿宋"/>
          <w:color w:val="auto"/>
          <w:spacing w:val="-4"/>
          <w:sz w:val="32"/>
          <w:szCs w:val="32"/>
          <w:lang w:eastAsia="zh-CN"/>
        </w:rPr>
        <w:t>为其他社会福利</w:t>
      </w:r>
      <w:r>
        <w:rPr>
          <w:rFonts w:hint="eastAsia" w:ascii="仿宋" w:hAnsi="仿宋" w:eastAsia="仿宋"/>
          <w:color w:val="auto"/>
          <w:spacing w:val="-4"/>
          <w:sz w:val="32"/>
          <w:szCs w:val="32"/>
        </w:rPr>
        <w:t>项今后的开展提供参考建议。</w:t>
      </w:r>
    </w:p>
    <w:p>
      <w:pPr>
        <w:adjustRightInd w:val="0"/>
        <w:snapToGrid w:val="0"/>
        <w:spacing w:line="560" w:lineRule="exact"/>
        <w:ind w:firstLine="624" w:firstLineChars="200"/>
        <w:rPr>
          <w:rFonts w:ascii="仿宋" w:hAnsi="仿宋" w:eastAsia="仿宋"/>
          <w:color w:val="FF0000"/>
          <w:spacing w:val="-4"/>
          <w:sz w:val="32"/>
          <w:szCs w:val="32"/>
        </w:rPr>
      </w:pP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p>
      <w:pPr>
        <w:adjustRightInd w:val="0"/>
        <w:snapToGrid w:val="0"/>
        <w:spacing w:line="560" w:lineRule="exact"/>
        <w:ind w:firstLine="627" w:firstLineChars="200"/>
        <w:rPr>
          <w:rStyle w:val="18"/>
          <w:rFonts w:ascii="仿宋" w:hAnsi="仿宋" w:eastAsia="仿宋"/>
          <w:spacing w:val="-4"/>
          <w:sz w:val="32"/>
          <w:szCs w:val="32"/>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31260051"/>
    <w:rsid w:val="69E059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uiPriority w:val="9"/>
    <w:rPr>
      <w:rFonts w:asciiTheme="majorHAnsi" w:hAnsiTheme="majorHAnsi" w:eastAsiaTheme="majorEastAsia"/>
      <w:b/>
      <w:bCs/>
      <w:kern w:val="32"/>
      <w:sz w:val="32"/>
      <w:szCs w:val="32"/>
    </w:rPr>
  </w:style>
  <w:style w:type="character" w:customStyle="1" w:styleId="22">
    <w:name w:val="标题 2 Char"/>
    <w:basedOn w:val="17"/>
    <w:link w:val="3"/>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uiPriority w:val="9"/>
    <w:rPr>
      <w:rFonts w:asciiTheme="majorHAnsi" w:hAnsiTheme="majorHAnsi" w:eastAsiaTheme="majorEastAsia"/>
      <w:b/>
      <w:bCs/>
      <w:sz w:val="26"/>
      <w:szCs w:val="26"/>
    </w:rPr>
  </w:style>
  <w:style w:type="character" w:customStyle="1" w:styleId="24">
    <w:name w:val="标题 4 Char"/>
    <w:basedOn w:val="17"/>
    <w:link w:val="5"/>
    <w:semiHidden/>
    <w:uiPriority w:val="9"/>
    <w:rPr>
      <w:b/>
      <w:bCs/>
      <w:sz w:val="28"/>
      <w:szCs w:val="28"/>
    </w:rPr>
  </w:style>
  <w:style w:type="character" w:customStyle="1" w:styleId="25">
    <w:name w:val="标题 5 Char"/>
    <w:basedOn w:val="17"/>
    <w:link w:val="6"/>
    <w:semiHidden/>
    <w:uiPriority w:val="9"/>
    <w:rPr>
      <w:b/>
      <w:bCs/>
      <w:i/>
      <w:iCs/>
      <w:sz w:val="26"/>
      <w:szCs w:val="26"/>
    </w:rPr>
  </w:style>
  <w:style w:type="character" w:customStyle="1" w:styleId="26">
    <w:name w:val="标题 6 Char"/>
    <w:basedOn w:val="17"/>
    <w:link w:val="7"/>
    <w:semiHidden/>
    <w:uiPriority w:val="9"/>
    <w:rPr>
      <w:b/>
      <w:bCs/>
    </w:rPr>
  </w:style>
  <w:style w:type="character" w:customStyle="1" w:styleId="27">
    <w:name w:val="标题 7 Char"/>
    <w:basedOn w:val="17"/>
    <w:link w:val="8"/>
    <w:semiHidden/>
    <w:uiPriority w:val="9"/>
    <w:rPr>
      <w:sz w:val="24"/>
      <w:szCs w:val="24"/>
    </w:rPr>
  </w:style>
  <w:style w:type="character" w:customStyle="1" w:styleId="28">
    <w:name w:val="标题 8 Char"/>
    <w:basedOn w:val="17"/>
    <w:link w:val="9"/>
    <w:semiHidden/>
    <w:uiPriority w:val="9"/>
    <w:rPr>
      <w:i/>
      <w:iCs/>
      <w:sz w:val="24"/>
      <w:szCs w:val="24"/>
    </w:rPr>
  </w:style>
  <w:style w:type="character" w:customStyle="1" w:styleId="29">
    <w:name w:val="标题 9 Char"/>
    <w:basedOn w:val="17"/>
    <w:link w:val="10"/>
    <w:semiHidden/>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0</TotalTime>
  <ScaleCrop>false</ScaleCrop>
  <LinksUpToDate>false</LinksUpToDate>
  <CharactersWithSpaces>2449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2019-09-07T09:06:58Z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